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0227C2" w14:textId="72027F8B" w:rsidR="00FC2148" w:rsidRDefault="00FC2148" w:rsidP="00FC2148">
      <w:pPr>
        <w:pStyle w:val="a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8627264" wp14:editId="3F87359A">
                <wp:simplePos x="0" y="0"/>
                <wp:positionH relativeFrom="page">
                  <wp:posOffset>984250</wp:posOffset>
                </wp:positionH>
                <wp:positionV relativeFrom="page">
                  <wp:posOffset>501650</wp:posOffset>
                </wp:positionV>
                <wp:extent cx="831850" cy="303530"/>
                <wp:effectExtent l="0" t="0" r="6350" b="1270"/>
                <wp:wrapNone/>
                <wp:docPr id="1408158894" name="직사각형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1850" cy="303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CB5347" w14:textId="69B5587B" w:rsidR="00FC2148" w:rsidRDefault="00FC2148" w:rsidP="00FC2148">
                            <w:pPr>
                              <w:pStyle w:val="a8"/>
                              <w:wordWrap/>
                              <w:jc w:val="center"/>
                            </w:pPr>
                            <w:r>
                              <w:rPr>
                                <w:rFonts w:ascii="맑은 고딕" w:eastAsia="맑은 고딕" w:hAnsi="맑은 고딕" w:hint="eastAsia"/>
                                <w:sz w:val="24"/>
                                <w:szCs w:val="24"/>
                              </w:rPr>
                              <w:t xml:space="preserve">부록 </w:t>
                            </w:r>
                            <w:r>
                              <w:rPr>
                                <w:rFonts w:ascii="맑은 고딕" w:eastAsia="맑은 고딕" w:hAnsi="맑은 고딕"/>
                                <w:sz w:val="24"/>
                                <w:szCs w:val="24"/>
                              </w:rPr>
                              <w:t>4-4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627264" id="직사각형 1" o:spid="_x0000_s1026" style="position:absolute;left:0;text-align:left;margin-left:77.5pt;margin-top:39.5pt;width:65.5pt;height:23.9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" stroked="f">
                <v:textbox>
                  <w:txbxContent>
                    <w:p w14:paraId="23CB5347" w14:textId="69B5587B" w:rsidR="00FC2148" w:rsidRDefault="00FC2148" w:rsidP="00FC2148">
                      <w:pPr>
                        <w:pStyle w:val="a8"/>
                        <w:wordWrap/>
                        <w:jc w:val="center"/>
                      </w:pPr>
                      <w:r>
                        <w:rPr>
                          <w:rFonts w:ascii="맑은 고딕" w:eastAsia="맑은 고딕" w:hAnsi="맑은 고딕" w:hint="eastAsia"/>
                          <w:sz w:val="24"/>
                          <w:szCs w:val="24"/>
                        </w:rPr>
                        <w:t xml:space="preserve">부록 </w:t>
                      </w:r>
                      <w:r>
                        <w:rPr>
                          <w:rFonts w:ascii="맑은 고딕" w:eastAsia="맑은 고딕" w:hAnsi="맑은 고딕"/>
                          <w:sz w:val="24"/>
                          <w:szCs w:val="24"/>
                        </w:rPr>
                        <w:t>4-4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633D7BF3" w14:textId="109E6FD8" w:rsidR="00EC5AC8" w:rsidRDefault="00C808D6">
      <w:pPr>
        <w:widowControl w:val="0"/>
        <w:pBdr>
          <w:top w:val="nil"/>
          <w:left w:val="nil"/>
          <w:bottom w:val="nil"/>
          <w:right w:val="nil"/>
          <w:between w:val="nil"/>
        </w:pBdr>
        <w:ind w:left="-169"/>
        <w:jc w:val="center"/>
        <w:rPr>
          <w:rFonts w:ascii="굴림" w:eastAsia="굴림" w:hAnsi="굴림" w:cs="굴림"/>
          <w:b/>
          <w:color w:val="000000"/>
          <w:sz w:val="28"/>
          <w:szCs w:val="28"/>
          <w:u w:val="single"/>
        </w:rPr>
      </w:pPr>
      <w:r w:rsidRPr="00660F55">
        <w:rPr>
          <w:rFonts w:eastAsia="Times New Roman" w:hint="eastAsia"/>
          <w:b/>
          <w:sz w:val="32"/>
          <w:szCs w:val="32"/>
          <w:u w:val="single"/>
        </w:rPr>
        <w:t>○○○</w:t>
      </w:r>
      <w:r w:rsidRPr="00C808D6">
        <w:rPr>
          <w:rFonts w:eastAsia="Times New Roman"/>
          <w:b/>
          <w:color w:val="000000"/>
          <w:sz w:val="28"/>
          <w:szCs w:val="28"/>
          <w:u w:val="single"/>
        </w:rPr>
        <w:t xml:space="preserve"> Project</w:t>
      </w:r>
    </w:p>
    <w:p w14:paraId="48C90A6B" w14:textId="77777777" w:rsidR="00EC5AC8" w:rsidRDefault="00EC5AC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tbl>
      <w:tblPr>
        <w:tblStyle w:val="a5"/>
        <w:tblW w:w="882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340"/>
        <w:gridCol w:w="6480"/>
      </w:tblGrid>
      <w:tr w:rsidR="00EC5AC8" w14:paraId="0B78DA40" w14:textId="77777777">
        <w:trPr>
          <w:trHeight w:val="540"/>
        </w:trPr>
        <w:tc>
          <w:tcPr>
            <w:tcW w:w="2340" w:type="dxa"/>
            <w:vMerge w:val="restart"/>
          </w:tcPr>
          <w:p w14:paraId="63A18F59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</w:rPr>
              <w:t>Borrower</w:t>
            </w:r>
          </w:p>
        </w:tc>
        <w:tc>
          <w:tcPr>
            <w:tcW w:w="6480" w:type="dxa"/>
            <w:tcBorders>
              <w:bottom w:val="single" w:sz="4" w:space="0" w:color="C0C0C0"/>
            </w:tcBorders>
            <w:vAlign w:val="center"/>
          </w:tcPr>
          <w:p w14:paraId="4805396D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000: 000 </w:t>
            </w:r>
            <w:proofErr w:type="gramStart"/>
            <w:r>
              <w:rPr>
                <w:rFonts w:eastAsia="Times New Roman"/>
                <w:color w:val="000000"/>
                <w:sz w:val="22"/>
                <w:szCs w:val="22"/>
              </w:rPr>
              <w:t>LTD.(</w:t>
            </w:r>
            <w:proofErr w:type="gramEnd"/>
            <w:r>
              <w:rPr>
                <w:rFonts w:eastAsia="Times New Roman"/>
                <w:color w:val="000000"/>
                <w:sz w:val="22"/>
                <w:szCs w:val="22"/>
              </w:rPr>
              <w:t>hereinafter “000”)</w:t>
            </w:r>
          </w:p>
        </w:tc>
      </w:tr>
      <w:tr w:rsidR="00EC5AC8" w14:paraId="49C69636" w14:textId="77777777">
        <w:trPr>
          <w:trHeight w:val="527"/>
        </w:trPr>
        <w:tc>
          <w:tcPr>
            <w:tcW w:w="2340" w:type="dxa"/>
            <w:vMerge/>
          </w:tcPr>
          <w:p w14:paraId="36597FF3" w14:textId="77777777" w:rsidR="00EC5AC8" w:rsidRDefault="00EC5A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480" w:type="dxa"/>
            <w:tcBorders>
              <w:top w:val="single" w:sz="4" w:space="0" w:color="C0C0C0"/>
            </w:tcBorders>
            <w:vAlign w:val="center"/>
          </w:tcPr>
          <w:p w14:paraId="228E57AF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000: 000 000 Development Co., Ltd</w:t>
            </w:r>
          </w:p>
        </w:tc>
      </w:tr>
      <w:tr w:rsidR="00EC5AC8" w14:paraId="0F66422E" w14:textId="77777777">
        <w:tc>
          <w:tcPr>
            <w:tcW w:w="2340" w:type="dxa"/>
          </w:tcPr>
          <w:p w14:paraId="627D73F3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</w:rPr>
              <w:t>Construction Company</w:t>
            </w:r>
          </w:p>
        </w:tc>
        <w:tc>
          <w:tcPr>
            <w:tcW w:w="6480" w:type="dxa"/>
            <w:vAlign w:val="center"/>
          </w:tcPr>
          <w:p w14:paraId="01D6256C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02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000 Co., LTD.</w:t>
            </w:r>
          </w:p>
        </w:tc>
      </w:tr>
      <w:tr w:rsidR="00EC5AC8" w14:paraId="1B463702" w14:textId="77777777">
        <w:tc>
          <w:tcPr>
            <w:tcW w:w="2340" w:type="dxa"/>
          </w:tcPr>
          <w:p w14:paraId="61059D0D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</w:rPr>
              <w:t>Arranger</w:t>
            </w:r>
          </w:p>
        </w:tc>
        <w:tc>
          <w:tcPr>
            <w:tcW w:w="6480" w:type="dxa"/>
            <w:vAlign w:val="center"/>
          </w:tcPr>
          <w:p w14:paraId="2F66F15D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Woori Bank</w:t>
            </w:r>
          </w:p>
        </w:tc>
      </w:tr>
      <w:tr w:rsidR="00EC5AC8" w14:paraId="687B417A" w14:textId="77777777">
        <w:tc>
          <w:tcPr>
            <w:tcW w:w="2340" w:type="dxa"/>
          </w:tcPr>
          <w:p w14:paraId="6FB9005F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</w:rPr>
              <w:t>Lenders</w:t>
            </w:r>
          </w:p>
        </w:tc>
        <w:tc>
          <w:tcPr>
            <w:tcW w:w="6480" w:type="dxa"/>
            <w:vAlign w:val="center"/>
          </w:tcPr>
          <w:p w14:paraId="275022A4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A group of financial institutions to be selected by the </w:t>
            </w:r>
            <w:proofErr w:type="gramStart"/>
            <w:r>
              <w:rPr>
                <w:rFonts w:eastAsia="Times New Roman"/>
                <w:color w:val="000000"/>
                <w:sz w:val="22"/>
                <w:szCs w:val="22"/>
              </w:rPr>
              <w:t>Arranger</w:t>
            </w:r>
            <w:proofErr w:type="gramEnd"/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</w:p>
          <w:p w14:paraId="484DB73C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(the “Lenders”)</w:t>
            </w:r>
          </w:p>
        </w:tc>
      </w:tr>
      <w:tr w:rsidR="00EC5AC8" w14:paraId="0B41B347" w14:textId="77777777">
        <w:trPr>
          <w:trHeight w:val="1274"/>
        </w:trPr>
        <w:tc>
          <w:tcPr>
            <w:tcW w:w="2340" w:type="dxa"/>
          </w:tcPr>
          <w:p w14:paraId="5B8BC680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</w:rPr>
              <w:t>Agent</w:t>
            </w:r>
          </w:p>
        </w:tc>
        <w:tc>
          <w:tcPr>
            <w:tcW w:w="6480" w:type="dxa"/>
            <w:vAlign w:val="center"/>
          </w:tcPr>
          <w:p w14:paraId="1C4B0CE5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Woori </w:t>
            </w:r>
            <w:proofErr w:type="gramStart"/>
            <w:r>
              <w:rPr>
                <w:rFonts w:eastAsia="Times New Roman"/>
                <w:color w:val="000000"/>
                <w:sz w:val="22"/>
                <w:szCs w:val="22"/>
              </w:rPr>
              <w:t>Bank ;</w:t>
            </w:r>
            <w:proofErr w:type="gramEnd"/>
          </w:p>
          <w:p w14:paraId="063A725B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With respect to withdrawals from the designated accounts in 000, the detailed terms and conditions will be determined by discussion between Woori Bank and </w:t>
            </w:r>
            <w:proofErr w:type="spellStart"/>
            <w:r>
              <w:rPr>
                <w:rFonts w:eastAsia="Times New Roman"/>
                <w:color w:val="000000"/>
                <w:sz w:val="22"/>
                <w:szCs w:val="22"/>
              </w:rPr>
              <w:t>Kazkommerts</w:t>
            </w:r>
            <w:proofErr w:type="spellEnd"/>
            <w:r>
              <w:rPr>
                <w:rFonts w:eastAsia="Times New Roman"/>
                <w:color w:val="000000"/>
                <w:sz w:val="22"/>
                <w:szCs w:val="22"/>
              </w:rPr>
              <w:t xml:space="preserve"> Bank.</w:t>
            </w:r>
          </w:p>
        </w:tc>
      </w:tr>
      <w:tr w:rsidR="00EC5AC8" w14:paraId="42089263" w14:textId="77777777">
        <w:tc>
          <w:tcPr>
            <w:tcW w:w="2340" w:type="dxa"/>
          </w:tcPr>
          <w:p w14:paraId="72875054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</w:rPr>
              <w:t>Purpose</w:t>
            </w:r>
          </w:p>
        </w:tc>
        <w:tc>
          <w:tcPr>
            <w:tcW w:w="6480" w:type="dxa"/>
            <w:vAlign w:val="center"/>
          </w:tcPr>
          <w:p w14:paraId="4C21A6CB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To finance (</w:t>
            </w:r>
            <w:proofErr w:type="spellStart"/>
            <w:r>
              <w:rPr>
                <w:rFonts w:eastAsia="Times New Roman"/>
                <w:color w:val="000000"/>
                <w:sz w:val="22"/>
                <w:szCs w:val="22"/>
              </w:rPr>
              <w:t>i</w:t>
            </w:r>
            <w:proofErr w:type="spellEnd"/>
            <w:r>
              <w:rPr>
                <w:rFonts w:eastAsia="Times New Roman"/>
                <w:color w:val="000000"/>
                <w:sz w:val="22"/>
                <w:szCs w:val="22"/>
              </w:rPr>
              <w:t xml:space="preserve">) the development, construction and land purchase of the residential buildings in </w:t>
            </w:r>
            <w:proofErr w:type="spellStart"/>
            <w:r>
              <w:rPr>
                <w:rFonts w:eastAsia="Times New Roman"/>
                <w:color w:val="000000"/>
                <w:sz w:val="22"/>
                <w:szCs w:val="22"/>
              </w:rPr>
              <w:t>Bostandykski</w:t>
            </w:r>
            <w:proofErr w:type="spellEnd"/>
            <w:r>
              <w:rPr>
                <w:rFonts w:eastAsia="Times New Roman"/>
                <w:color w:val="000000"/>
                <w:sz w:val="22"/>
                <w:szCs w:val="22"/>
              </w:rPr>
              <w:t xml:space="preserve"> District, 000, 000, of which total area is approximately 45,000 m², including financial costs and other expenses (the “Project”) and (ii) repayment of the existing debts of the Borrower in respect of the Project.</w:t>
            </w:r>
          </w:p>
        </w:tc>
      </w:tr>
      <w:tr w:rsidR="00EC5AC8" w14:paraId="1A354F6D" w14:textId="77777777">
        <w:tc>
          <w:tcPr>
            <w:tcW w:w="2340" w:type="dxa"/>
          </w:tcPr>
          <w:p w14:paraId="5DE4B53B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</w:rPr>
              <w:t>Total Facility Amount</w:t>
            </w:r>
          </w:p>
        </w:tc>
        <w:tc>
          <w:tcPr>
            <w:tcW w:w="6480" w:type="dxa"/>
            <w:vAlign w:val="center"/>
          </w:tcPr>
          <w:p w14:paraId="2A098D66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Up to approximately US$ 75,000,000.</w:t>
            </w:r>
            <w:r>
              <w:rPr>
                <w:rFonts w:eastAsia="Times New Roman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The Total Facility Amount shall consist of three </w:t>
            </w:r>
            <w:proofErr w:type="gramStart"/>
            <w:r>
              <w:rPr>
                <w:rFonts w:eastAsia="Times New Roman"/>
                <w:color w:val="000000"/>
                <w:sz w:val="22"/>
                <w:szCs w:val="22"/>
              </w:rPr>
              <w:t>tranches;</w:t>
            </w:r>
            <w:proofErr w:type="gramEnd"/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</w:p>
          <w:p w14:paraId="4B824A49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4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a. Tranche A Facility up to the amount of KRW 30,000,000,000 </w:t>
            </w:r>
          </w:p>
          <w:p w14:paraId="6068B041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b. Tranche B Facility up to the amount of KZT 3,500,000,000 </w:t>
            </w:r>
          </w:p>
          <w:p w14:paraId="2B3E905F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c. Tranche C Facility up to the amount of KRW 20,000,000,000</w:t>
            </w:r>
          </w:p>
        </w:tc>
      </w:tr>
      <w:tr w:rsidR="00EC5AC8" w14:paraId="7E19A542" w14:textId="77777777">
        <w:trPr>
          <w:trHeight w:val="480"/>
        </w:trPr>
        <w:tc>
          <w:tcPr>
            <w:tcW w:w="2340" w:type="dxa"/>
            <w:tcBorders>
              <w:bottom w:val="single" w:sz="4" w:space="0" w:color="C0C0C0"/>
            </w:tcBorders>
          </w:tcPr>
          <w:p w14:paraId="0A34C3F2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</w:rPr>
              <w:t xml:space="preserve">Interest Rate </w:t>
            </w:r>
          </w:p>
        </w:tc>
        <w:tc>
          <w:tcPr>
            <w:tcW w:w="6480" w:type="dxa"/>
            <w:vMerge w:val="restart"/>
            <w:vAlign w:val="center"/>
          </w:tcPr>
          <w:p w14:paraId="254DC8FF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02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Interest Rate · Period · Payment shall be determined by consultation with </w:t>
            </w:r>
            <w:proofErr w:type="spellStart"/>
            <w:r>
              <w:rPr>
                <w:rFonts w:eastAsia="Times New Roman"/>
                <w:color w:val="000000"/>
                <w:sz w:val="22"/>
                <w:szCs w:val="22"/>
              </w:rPr>
              <w:t>Kazkommerts</w:t>
            </w:r>
            <w:proofErr w:type="spellEnd"/>
            <w:r>
              <w:rPr>
                <w:rFonts w:eastAsia="Times New Roman"/>
                <w:color w:val="000000"/>
                <w:sz w:val="22"/>
                <w:szCs w:val="22"/>
              </w:rPr>
              <w:t xml:space="preserve"> Bank, (in case that </w:t>
            </w:r>
            <w:proofErr w:type="spellStart"/>
            <w:r>
              <w:rPr>
                <w:rFonts w:eastAsia="Times New Roman"/>
                <w:color w:val="000000"/>
                <w:sz w:val="22"/>
                <w:szCs w:val="22"/>
              </w:rPr>
              <w:t>Kazkommerts</w:t>
            </w:r>
            <w:proofErr w:type="spellEnd"/>
            <w:r>
              <w:rPr>
                <w:rFonts w:eastAsia="Times New Roman"/>
                <w:color w:val="000000"/>
                <w:sz w:val="22"/>
                <w:szCs w:val="22"/>
              </w:rPr>
              <w:t xml:space="preserve"> Bank</w:t>
            </w:r>
          </w:p>
          <w:p w14:paraId="3424AD50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02"/>
              </w:tabs>
              <w:ind w:left="110" w:hanging="11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participates in this facility). </w:t>
            </w:r>
            <w:r>
              <w:rPr>
                <w:rFonts w:eastAsia="Times New Roman"/>
                <w:color w:val="000000"/>
                <w:sz w:val="22"/>
                <w:szCs w:val="22"/>
              </w:rPr>
              <w:tab/>
            </w:r>
          </w:p>
        </w:tc>
      </w:tr>
      <w:tr w:rsidR="00EC5AC8" w14:paraId="592AA651" w14:textId="77777777">
        <w:trPr>
          <w:trHeight w:val="345"/>
        </w:trPr>
        <w:tc>
          <w:tcPr>
            <w:tcW w:w="2340" w:type="dxa"/>
            <w:tcBorders>
              <w:top w:val="single" w:sz="4" w:space="0" w:color="C0C0C0"/>
              <w:bottom w:val="single" w:sz="4" w:space="0" w:color="C0C0C0"/>
            </w:tcBorders>
          </w:tcPr>
          <w:p w14:paraId="38E5D4F4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</w:rPr>
              <w:t>Interest Period</w:t>
            </w:r>
          </w:p>
        </w:tc>
        <w:tc>
          <w:tcPr>
            <w:tcW w:w="6480" w:type="dxa"/>
            <w:vMerge/>
            <w:vAlign w:val="center"/>
          </w:tcPr>
          <w:p w14:paraId="642777C5" w14:textId="77777777" w:rsidR="00EC5AC8" w:rsidRDefault="00EC5A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</w:tr>
      <w:tr w:rsidR="00EC5AC8" w14:paraId="0CC14FE0" w14:textId="77777777">
        <w:trPr>
          <w:trHeight w:val="435"/>
        </w:trPr>
        <w:tc>
          <w:tcPr>
            <w:tcW w:w="2340" w:type="dxa"/>
            <w:tcBorders>
              <w:top w:val="single" w:sz="4" w:space="0" w:color="C0C0C0"/>
              <w:bottom w:val="single" w:sz="4" w:space="0" w:color="C0C0C0"/>
            </w:tcBorders>
          </w:tcPr>
          <w:p w14:paraId="543B64E4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02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</w:rPr>
              <w:t>Interest Payment</w:t>
            </w:r>
          </w:p>
        </w:tc>
        <w:tc>
          <w:tcPr>
            <w:tcW w:w="6480" w:type="dxa"/>
            <w:vMerge/>
            <w:vAlign w:val="center"/>
          </w:tcPr>
          <w:p w14:paraId="059A5526" w14:textId="77777777" w:rsidR="00EC5AC8" w:rsidRDefault="00EC5A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</w:tr>
      <w:tr w:rsidR="00EC5AC8" w14:paraId="085BF50A" w14:textId="77777777">
        <w:tc>
          <w:tcPr>
            <w:tcW w:w="2340" w:type="dxa"/>
          </w:tcPr>
          <w:p w14:paraId="6F21F946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</w:rPr>
              <w:t>Final Maturity Date</w:t>
            </w:r>
          </w:p>
        </w:tc>
        <w:tc>
          <w:tcPr>
            <w:tcW w:w="6480" w:type="dxa"/>
            <w:vAlign w:val="center"/>
          </w:tcPr>
          <w:p w14:paraId="0564D56A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41 months from the initial drawdown of the facility (Tranche A · B · C, respectively)</w:t>
            </w:r>
          </w:p>
        </w:tc>
      </w:tr>
      <w:tr w:rsidR="00EC5AC8" w14:paraId="2F2CC95D" w14:textId="77777777">
        <w:trPr>
          <w:trHeight w:val="2303"/>
        </w:trPr>
        <w:tc>
          <w:tcPr>
            <w:tcW w:w="2340" w:type="dxa"/>
          </w:tcPr>
          <w:p w14:paraId="4AD43695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</w:rPr>
              <w:t>Repayment Method</w:t>
            </w:r>
          </w:p>
        </w:tc>
        <w:tc>
          <w:tcPr>
            <w:tcW w:w="6480" w:type="dxa"/>
            <w:vAlign w:val="center"/>
          </w:tcPr>
          <w:p w14:paraId="4A3EC393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Basically, the Borrower will repay the facility in the following </w:t>
            </w:r>
            <w:proofErr w:type="gramStart"/>
            <w:r>
              <w:rPr>
                <w:rFonts w:eastAsia="Times New Roman"/>
                <w:color w:val="000000"/>
                <w:sz w:val="22"/>
                <w:szCs w:val="22"/>
              </w:rPr>
              <w:t>manner ;</w:t>
            </w:r>
            <w:proofErr w:type="gramEnd"/>
            <w:r>
              <w:rPr>
                <w:rFonts w:eastAsia="Times New Roman"/>
                <w:color w:val="000000"/>
                <w:sz w:val="22"/>
                <w:szCs w:val="22"/>
              </w:rPr>
              <w:t xml:space="preserve">  </w:t>
            </w:r>
          </w:p>
          <w:p w14:paraId="64E1C940" w14:textId="77777777" w:rsidR="00EC5AC8" w:rsidRDefault="00000000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76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On the date of 14months from the initial drawdown date: </w:t>
            </w:r>
          </w:p>
          <w:p w14:paraId="44F276D7" w14:textId="77777777" w:rsidR="00EC5AC8" w:rsidRDefault="00000000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76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On the date of 20months from the initial drawdown date:  </w:t>
            </w:r>
          </w:p>
          <w:p w14:paraId="24C5E0BC" w14:textId="77777777" w:rsidR="00EC5AC8" w:rsidRDefault="00000000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76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On the date of 26months from the initial drawdown date:</w:t>
            </w:r>
          </w:p>
          <w:p w14:paraId="564B62D7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d. On the maturity date. </w:t>
            </w:r>
          </w:p>
          <w:p w14:paraId="251BA414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02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* Detailed repayment method will be determined by consultation with </w:t>
            </w:r>
            <w:proofErr w:type="spellStart"/>
            <w:r>
              <w:rPr>
                <w:rFonts w:eastAsia="Times New Roman"/>
                <w:color w:val="000000"/>
                <w:sz w:val="22"/>
                <w:szCs w:val="22"/>
              </w:rPr>
              <w:t>Kazkommerts</w:t>
            </w:r>
            <w:proofErr w:type="spellEnd"/>
            <w:r>
              <w:rPr>
                <w:rFonts w:eastAsia="Times New Roman"/>
                <w:color w:val="000000"/>
                <w:sz w:val="22"/>
                <w:szCs w:val="22"/>
              </w:rPr>
              <w:t xml:space="preserve"> Bank (in case that </w:t>
            </w:r>
            <w:proofErr w:type="spellStart"/>
            <w:r>
              <w:rPr>
                <w:rFonts w:eastAsia="Times New Roman"/>
                <w:color w:val="000000"/>
                <w:sz w:val="22"/>
                <w:szCs w:val="22"/>
              </w:rPr>
              <w:t>Kazkommerts</w:t>
            </w:r>
            <w:proofErr w:type="spellEnd"/>
            <w:r>
              <w:rPr>
                <w:rFonts w:eastAsia="Times New Roman"/>
                <w:color w:val="000000"/>
                <w:sz w:val="22"/>
                <w:szCs w:val="22"/>
              </w:rPr>
              <w:t xml:space="preserve"> Bank participates in this facility).</w:t>
            </w:r>
          </w:p>
          <w:p w14:paraId="3072622B" w14:textId="77777777" w:rsidR="00EC5AC8" w:rsidRDefault="00EC5A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EC5AC8" w14:paraId="28CA6ADF" w14:textId="77777777">
        <w:tc>
          <w:tcPr>
            <w:tcW w:w="2340" w:type="dxa"/>
          </w:tcPr>
          <w:p w14:paraId="6435C209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</w:rPr>
              <w:t>Drawdown - Availability</w:t>
            </w:r>
          </w:p>
        </w:tc>
        <w:tc>
          <w:tcPr>
            <w:tcW w:w="6480" w:type="dxa"/>
            <w:vAlign w:val="center"/>
          </w:tcPr>
          <w:p w14:paraId="7D61B785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The </w:t>
            </w:r>
            <w:proofErr w:type="spellStart"/>
            <w:r>
              <w:rPr>
                <w:rFonts w:eastAsia="Times New Roman"/>
                <w:color w:val="000000"/>
                <w:sz w:val="22"/>
                <w:szCs w:val="22"/>
              </w:rPr>
              <w:t>darwdown</w:t>
            </w:r>
            <w:proofErr w:type="spellEnd"/>
            <w:r>
              <w:rPr>
                <w:rFonts w:eastAsia="Times New Roman"/>
                <w:color w:val="000000"/>
                <w:sz w:val="22"/>
                <w:szCs w:val="22"/>
              </w:rPr>
              <w:t xml:space="preserve"> of the facility will be permitted within 2 months after the closing date, up to the total sum of the facility.  </w:t>
            </w:r>
          </w:p>
        </w:tc>
      </w:tr>
      <w:tr w:rsidR="00EC5AC8" w14:paraId="0D672458" w14:textId="77777777">
        <w:tc>
          <w:tcPr>
            <w:tcW w:w="2340" w:type="dxa"/>
          </w:tcPr>
          <w:p w14:paraId="7872A2BB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</w:rPr>
              <w:t xml:space="preserve">Conditions Precedent </w:t>
            </w:r>
            <w:proofErr w:type="gramStart"/>
            <w:r>
              <w:rPr>
                <w:rFonts w:eastAsia="Times New Roman"/>
                <w:b/>
                <w:color w:val="000000"/>
                <w:sz w:val="22"/>
                <w:szCs w:val="22"/>
              </w:rPr>
              <w:t>To</w:t>
            </w:r>
            <w:proofErr w:type="gramEnd"/>
            <w:r>
              <w:rPr>
                <w:rFonts w:eastAsia="Times New Roman"/>
                <w:b/>
                <w:color w:val="000000"/>
                <w:sz w:val="22"/>
                <w:szCs w:val="22"/>
              </w:rPr>
              <w:t xml:space="preserve"> Drawdown</w:t>
            </w:r>
          </w:p>
        </w:tc>
        <w:tc>
          <w:tcPr>
            <w:tcW w:w="6480" w:type="dxa"/>
            <w:vAlign w:val="center"/>
          </w:tcPr>
          <w:p w14:paraId="60D9E933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both"/>
              <w:rPr>
                <w:color w:val="000000"/>
                <w:sz w:val="22"/>
                <w:szCs w:val="22"/>
              </w:rPr>
            </w:pPr>
            <w:bookmarkStart w:id="0" w:name="gjdgxs" w:colFirst="0" w:colLast="0"/>
            <w:bookmarkEnd w:id="0"/>
            <w:r>
              <w:rPr>
                <w:rFonts w:eastAsia="Times New Roman"/>
                <w:color w:val="000000"/>
                <w:sz w:val="22"/>
                <w:szCs w:val="22"/>
              </w:rPr>
              <w:t>Customary provisions for financings of this nature including but not limited to: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</w:p>
          <w:p w14:paraId="22D440BE" w14:textId="77777777" w:rsidR="00EC5AC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0" w:right="73" w:hanging="10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a. Receipt of all required government and other approvals in form and substance acceptable to the Agent</w:t>
            </w:r>
            <w:bookmarkStart w:id="1" w:name="30j0zll" w:colFirst="0" w:colLast="0"/>
            <w:bookmarkEnd w:id="1"/>
            <w:r>
              <w:rPr>
                <w:rFonts w:eastAsia="Times New Roman"/>
                <w:color w:val="000000"/>
                <w:sz w:val="22"/>
                <w:szCs w:val="22"/>
              </w:rPr>
              <w:t>.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</w:p>
          <w:p w14:paraId="43C46C20" w14:textId="77777777" w:rsidR="00EC5AC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0" w:right="73" w:hanging="10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b. Execution of all finance and security documents in form and substance acceptable to the Agent.</w:t>
            </w:r>
          </w:p>
          <w:p w14:paraId="6174DCD1" w14:textId="77777777" w:rsidR="00EC5AC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lastRenderedPageBreak/>
              <w:t xml:space="preserve">c. Evidence that the Borrower has duly obtained the title/ownership of the Project land. </w:t>
            </w:r>
          </w:p>
          <w:p w14:paraId="5B482BEB" w14:textId="77777777" w:rsidR="00EC5AC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d. Evidence that 000 000 Development Co., Ltd. duly owns the participation interest in </w:t>
            </w:r>
            <w:proofErr w:type="gramStart"/>
            <w:r>
              <w:rPr>
                <w:rFonts w:eastAsia="Times New Roman"/>
                <w:color w:val="000000"/>
                <w:sz w:val="22"/>
                <w:szCs w:val="22"/>
              </w:rPr>
              <w:t>000..</w:t>
            </w:r>
            <w:proofErr w:type="gramEnd"/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</w:p>
          <w:p w14:paraId="7AC9C915" w14:textId="77777777" w:rsidR="00EC5AC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e. Satisfactory documentation and such other conditions which the Agent may consider appropriate.</w:t>
            </w:r>
          </w:p>
          <w:p w14:paraId="2A342E5B" w14:textId="77777777" w:rsidR="00EC5AC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f. Creation and perfection of the security as contemplated in the security documents.</w:t>
            </w:r>
          </w:p>
          <w:p w14:paraId="2EE31920" w14:textId="77777777" w:rsidR="00EC5AC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g. Evidence that the final construction contract has been duly executed in form and substance satisfactory to the Agent and </w:t>
            </w:r>
          </w:p>
          <w:p w14:paraId="59479FB7" w14:textId="77777777" w:rsidR="00EC5AC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h. Evidence that equity investment has been injected into the Borrower in the amount not less than US$2,000,000.  </w:t>
            </w:r>
          </w:p>
          <w:p w14:paraId="2BC70713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color w:val="000000"/>
                <w:sz w:val="22"/>
                <w:szCs w:val="22"/>
              </w:rPr>
              <w:t>i</w:t>
            </w:r>
            <w:proofErr w:type="spellEnd"/>
            <w:r>
              <w:rPr>
                <w:rFonts w:eastAsia="Times New Roman"/>
                <w:color w:val="000000"/>
                <w:sz w:val="22"/>
                <w:szCs w:val="22"/>
              </w:rPr>
              <w:t xml:space="preserve">. Opening of the required accounts both in 000 and 000. </w:t>
            </w:r>
          </w:p>
        </w:tc>
      </w:tr>
      <w:tr w:rsidR="00EC5AC8" w14:paraId="3B37F6BA" w14:textId="77777777">
        <w:tc>
          <w:tcPr>
            <w:tcW w:w="2340" w:type="dxa"/>
          </w:tcPr>
          <w:p w14:paraId="48E9FF89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70"/>
              </w:tabs>
              <w:ind w:left="2970" w:hanging="297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</w:rPr>
              <w:lastRenderedPageBreak/>
              <w:t>Representations &amp;</w:t>
            </w:r>
          </w:p>
          <w:p w14:paraId="53FD141E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</w:rPr>
              <w:t>Warranties</w:t>
            </w:r>
          </w:p>
        </w:tc>
        <w:tc>
          <w:tcPr>
            <w:tcW w:w="6480" w:type="dxa"/>
            <w:vAlign w:val="center"/>
          </w:tcPr>
          <w:p w14:paraId="2EF9AB93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The Borrower will make representations and warranties customary for a transaction of this nature.  The obligation of the Lenders in relation to Drawdown will be subject to those representations and warranties.</w:t>
            </w:r>
          </w:p>
        </w:tc>
      </w:tr>
      <w:tr w:rsidR="00EC5AC8" w14:paraId="36B3E336" w14:textId="77777777">
        <w:tc>
          <w:tcPr>
            <w:tcW w:w="2340" w:type="dxa"/>
          </w:tcPr>
          <w:p w14:paraId="6D010C9E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</w:rPr>
              <w:t xml:space="preserve">Lenders’ Legal Council </w:t>
            </w:r>
          </w:p>
        </w:tc>
        <w:tc>
          <w:tcPr>
            <w:tcW w:w="6480" w:type="dxa"/>
            <w:vAlign w:val="center"/>
          </w:tcPr>
          <w:p w14:paraId="5C4DFB70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Lee &amp; Ko (000) and Aequitas (000)</w:t>
            </w:r>
          </w:p>
        </w:tc>
      </w:tr>
      <w:tr w:rsidR="00EC5AC8" w14:paraId="5B1639FF" w14:textId="77777777">
        <w:tc>
          <w:tcPr>
            <w:tcW w:w="2340" w:type="dxa"/>
          </w:tcPr>
          <w:p w14:paraId="2E205B32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</w:rPr>
              <w:t>Governing Law</w:t>
            </w:r>
          </w:p>
        </w:tc>
        <w:tc>
          <w:tcPr>
            <w:tcW w:w="6480" w:type="dxa"/>
            <w:vAlign w:val="center"/>
          </w:tcPr>
          <w:p w14:paraId="2A575911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The main documentation shall be governed by 000</w:t>
            </w:r>
            <w:proofErr w:type="gramStart"/>
            <w:r>
              <w:rPr>
                <w:rFonts w:eastAsia="Times New Roman"/>
                <w:color w:val="000000"/>
                <w:sz w:val="22"/>
                <w:szCs w:val="22"/>
              </w:rPr>
              <w:t>n  law</w:t>
            </w:r>
            <w:proofErr w:type="gramEnd"/>
            <w:r>
              <w:rPr>
                <w:rFonts w:eastAsia="Times New Roman"/>
                <w:color w:val="000000"/>
                <w:sz w:val="22"/>
                <w:szCs w:val="22"/>
              </w:rPr>
              <w:t xml:space="preserve">, except where 000 law is required. </w:t>
            </w:r>
          </w:p>
          <w:p w14:paraId="7400BB16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* Lenders’ Legal Council will determine the relevant governing law at documentation phase.</w:t>
            </w:r>
          </w:p>
        </w:tc>
      </w:tr>
      <w:tr w:rsidR="00EC5AC8" w14:paraId="5AD779A5" w14:textId="77777777">
        <w:tc>
          <w:tcPr>
            <w:tcW w:w="2340" w:type="dxa"/>
          </w:tcPr>
          <w:p w14:paraId="7EBBC0FA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</w:rPr>
              <w:t>Security</w:t>
            </w:r>
          </w:p>
          <w:p w14:paraId="03E732C1" w14:textId="77777777" w:rsidR="00EC5AC8" w:rsidRDefault="00EC5A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</w:rPr>
            </w:pPr>
          </w:p>
          <w:p w14:paraId="5792DA5F" w14:textId="77777777" w:rsidR="00EC5AC8" w:rsidRDefault="00EC5A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6480" w:type="dxa"/>
            <w:vAlign w:val="center"/>
          </w:tcPr>
          <w:p w14:paraId="37D05A8F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a. Interest Reserve Account</w:t>
            </w:r>
          </w:p>
          <w:p w14:paraId="4F2EF6F1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b. Before </w:t>
            </w:r>
            <w:proofErr w:type="gramStart"/>
            <w:r>
              <w:rPr>
                <w:rFonts w:eastAsia="Times New Roman"/>
                <w:color w:val="000000"/>
                <w:sz w:val="22"/>
                <w:szCs w:val="22"/>
              </w:rPr>
              <w:t>sales :</w:t>
            </w:r>
            <w:proofErr w:type="gramEnd"/>
            <w:r>
              <w:rPr>
                <w:rFonts w:eastAsia="Times New Roman"/>
                <w:color w:val="000000"/>
                <w:sz w:val="22"/>
                <w:szCs w:val="22"/>
              </w:rPr>
              <w:t xml:space="preserve"> 6 month interest reserve</w:t>
            </w:r>
          </w:p>
          <w:p w14:paraId="57C450F8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c. After </w:t>
            </w:r>
            <w:proofErr w:type="gramStart"/>
            <w:r>
              <w:rPr>
                <w:rFonts w:eastAsia="Times New Roman"/>
                <w:color w:val="000000"/>
                <w:sz w:val="22"/>
                <w:szCs w:val="22"/>
              </w:rPr>
              <w:t>sales :</w:t>
            </w:r>
            <w:proofErr w:type="gramEnd"/>
            <w:r>
              <w:rPr>
                <w:rFonts w:eastAsia="Times New Roman"/>
                <w:color w:val="000000"/>
                <w:sz w:val="22"/>
                <w:szCs w:val="22"/>
              </w:rPr>
              <w:t xml:space="preserve"> 3 month interest reserve</w:t>
            </w:r>
          </w:p>
          <w:p w14:paraId="216316A2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d. </w:t>
            </w:r>
            <w:proofErr w:type="gramStart"/>
            <w:r>
              <w:rPr>
                <w:rFonts w:eastAsia="Times New Roman"/>
                <w:color w:val="000000"/>
                <w:sz w:val="22"/>
                <w:szCs w:val="22"/>
              </w:rPr>
              <w:t>First priority</w:t>
            </w:r>
            <w:proofErr w:type="gramEnd"/>
            <w:r>
              <w:rPr>
                <w:rFonts w:eastAsia="Times New Roman"/>
                <w:color w:val="000000"/>
                <w:sz w:val="22"/>
                <w:szCs w:val="22"/>
              </w:rPr>
              <w:t xml:space="preserve"> mortgage interest over the real property and related assets</w:t>
            </w:r>
          </w:p>
          <w:p w14:paraId="716804D6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20" w:hanging="22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e. Security over shares of the Borrowers both in 000 and in 000  </w:t>
            </w:r>
          </w:p>
          <w:p w14:paraId="3E8E8A97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f. Pledge of escrowed accounts both in 000 and 000</w:t>
            </w:r>
          </w:p>
          <w:p w14:paraId="7D679EA4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g. Construction Completion Guarantee issued by the Construction Company</w:t>
            </w:r>
          </w:p>
          <w:p w14:paraId="0B3DE6FA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h. Interest payment and Principal repayment guarantee issued by the </w:t>
            </w:r>
            <w:proofErr w:type="gramStart"/>
            <w:r>
              <w:rPr>
                <w:rFonts w:eastAsia="Times New Roman"/>
                <w:color w:val="000000"/>
                <w:sz w:val="22"/>
                <w:szCs w:val="22"/>
              </w:rPr>
              <w:t>Guarantor</w:t>
            </w:r>
            <w:proofErr w:type="gramEnd"/>
          </w:p>
          <w:p w14:paraId="60D2BFCA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color w:val="000000"/>
                <w:sz w:val="22"/>
                <w:szCs w:val="22"/>
              </w:rPr>
              <w:t>i</w:t>
            </w:r>
            <w:proofErr w:type="spellEnd"/>
            <w:r>
              <w:rPr>
                <w:rFonts w:eastAsia="Times New Roman"/>
                <w:color w:val="000000"/>
                <w:sz w:val="22"/>
                <w:szCs w:val="22"/>
              </w:rPr>
              <w:t xml:space="preserve">. Assignment of all major contracts and insurance related to the </w:t>
            </w:r>
            <w:proofErr w:type="gramStart"/>
            <w:r>
              <w:rPr>
                <w:rFonts w:eastAsia="Times New Roman"/>
                <w:color w:val="000000"/>
                <w:sz w:val="22"/>
                <w:szCs w:val="22"/>
              </w:rPr>
              <w:t>Project</w:t>
            </w:r>
            <w:proofErr w:type="gramEnd"/>
          </w:p>
          <w:p w14:paraId="1014805A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j. The Borrowers’ letter of undertaking to waive their right to implement the </w:t>
            </w:r>
            <w:proofErr w:type="gramStart"/>
            <w:r>
              <w:rPr>
                <w:rFonts w:eastAsia="Times New Roman"/>
                <w:color w:val="000000"/>
                <w:sz w:val="22"/>
                <w:szCs w:val="22"/>
              </w:rPr>
              <w:t>Project</w:t>
            </w:r>
            <w:proofErr w:type="gramEnd"/>
          </w:p>
          <w:p w14:paraId="7D8CB99C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k. The Construction Company’s letter of undertaking to waive their right to implement the </w:t>
            </w:r>
            <w:proofErr w:type="gramStart"/>
            <w:r>
              <w:rPr>
                <w:rFonts w:eastAsia="Times New Roman"/>
                <w:color w:val="000000"/>
                <w:sz w:val="22"/>
                <w:szCs w:val="22"/>
              </w:rPr>
              <w:t>Project</w:t>
            </w:r>
            <w:proofErr w:type="gramEnd"/>
          </w:p>
          <w:p w14:paraId="1AB9895D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l. Such other security the Arranger and the Lenders may reasonably require </w:t>
            </w:r>
          </w:p>
        </w:tc>
      </w:tr>
      <w:tr w:rsidR="00EC5AC8" w14:paraId="7F37AC54" w14:textId="77777777">
        <w:tc>
          <w:tcPr>
            <w:tcW w:w="2340" w:type="dxa"/>
          </w:tcPr>
          <w:p w14:paraId="17628603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</w:rPr>
              <w:t>Covenants and</w:t>
            </w:r>
          </w:p>
          <w:p w14:paraId="39BBD71D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</w:rPr>
              <w:t>Undertakings</w:t>
            </w:r>
          </w:p>
        </w:tc>
        <w:tc>
          <w:tcPr>
            <w:tcW w:w="6480" w:type="dxa"/>
          </w:tcPr>
          <w:p w14:paraId="76384BF3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Customary for financings of this nature, applicable as appropriate to the Borrower and to include, but not limited to:</w:t>
            </w:r>
          </w:p>
          <w:p w14:paraId="68C69000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a. Provision of financial and other information  </w:t>
            </w:r>
          </w:p>
          <w:p w14:paraId="248F5167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b. Notification of any potential Event of Default or Event of Default</w:t>
            </w:r>
          </w:p>
          <w:p w14:paraId="2932AA7F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c. Compliance with laws and regulations</w:t>
            </w:r>
          </w:p>
          <w:p w14:paraId="17C387F5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d. Pari passu ranking of </w:t>
            </w:r>
            <w:proofErr w:type="gramStart"/>
            <w:r>
              <w:rPr>
                <w:rFonts w:eastAsia="Times New Roman"/>
                <w:color w:val="000000"/>
                <w:sz w:val="22"/>
                <w:szCs w:val="22"/>
              </w:rPr>
              <w:t>obligations</w:t>
            </w:r>
            <w:proofErr w:type="gramEnd"/>
          </w:p>
          <w:p w14:paraId="43436FDC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e. Restriction on dividend payment</w:t>
            </w:r>
          </w:p>
          <w:p w14:paraId="0D272B0F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f. Restriction on disposal of assets</w:t>
            </w:r>
          </w:p>
          <w:p w14:paraId="32AB93A6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g. Restriction of mergers and acquisitions</w:t>
            </w:r>
          </w:p>
          <w:p w14:paraId="7B4C1FCB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h. Change of business</w:t>
            </w:r>
          </w:p>
          <w:p w14:paraId="326C9C71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color w:val="000000"/>
                <w:sz w:val="22"/>
                <w:szCs w:val="22"/>
              </w:rPr>
              <w:t>i</w:t>
            </w:r>
            <w:proofErr w:type="spellEnd"/>
            <w:r>
              <w:rPr>
                <w:rFonts w:eastAsia="Times New Roman"/>
                <w:color w:val="000000"/>
                <w:sz w:val="22"/>
                <w:szCs w:val="22"/>
              </w:rPr>
              <w:t>. Change of control</w:t>
            </w:r>
          </w:p>
          <w:p w14:paraId="0BBA71E5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j. Breach of contract</w:t>
            </w:r>
          </w:p>
          <w:p w14:paraId="0AB025AD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k. Taxation</w:t>
            </w:r>
          </w:p>
          <w:p w14:paraId="22A21C44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l. Restriction on loans or credit</w:t>
            </w:r>
          </w:p>
          <w:p w14:paraId="40231BF1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lastRenderedPageBreak/>
              <w:t>m. Restriction on guarantees or indemnities</w:t>
            </w:r>
          </w:p>
          <w:p w14:paraId="1DF3D215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n. Restriction on financial indebtedness</w:t>
            </w:r>
          </w:p>
          <w:p w14:paraId="2DCF27D4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o. </w:t>
            </w:r>
            <w:proofErr w:type="gramStart"/>
            <w:r>
              <w:rPr>
                <w:rFonts w:eastAsia="Times New Roman"/>
                <w:color w:val="000000"/>
                <w:sz w:val="22"/>
                <w:szCs w:val="22"/>
              </w:rPr>
              <w:t>Other</w:t>
            </w:r>
            <w:proofErr w:type="gramEnd"/>
            <w:r>
              <w:rPr>
                <w:rFonts w:eastAsia="Times New Roman"/>
                <w:color w:val="000000"/>
                <w:sz w:val="22"/>
                <w:szCs w:val="22"/>
              </w:rPr>
              <w:t xml:space="preserve"> provisions the Arranger and the Lenders may reasonably require</w:t>
            </w:r>
          </w:p>
        </w:tc>
      </w:tr>
      <w:tr w:rsidR="00EC5AC8" w14:paraId="27F8BF4F" w14:textId="77777777">
        <w:tc>
          <w:tcPr>
            <w:tcW w:w="2340" w:type="dxa"/>
          </w:tcPr>
          <w:p w14:paraId="15DB1B30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</w:rPr>
              <w:lastRenderedPageBreak/>
              <w:t>Events of Default</w:t>
            </w:r>
          </w:p>
        </w:tc>
        <w:tc>
          <w:tcPr>
            <w:tcW w:w="6480" w:type="dxa"/>
          </w:tcPr>
          <w:p w14:paraId="11AEBFE8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Customary provisions for financings of this nature (subject to applicable grace period to be mutually agreed) including but not limited to:</w:t>
            </w:r>
          </w:p>
          <w:p w14:paraId="7804D4FC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a. Payment default in any of Tranche A, B or C  </w:t>
            </w:r>
          </w:p>
          <w:p w14:paraId="6C6BC01B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b. material default under the financing documents</w:t>
            </w:r>
          </w:p>
          <w:p w14:paraId="7CB5AFAF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c. breach of any Covenants and Undertakings</w:t>
            </w:r>
          </w:p>
          <w:p w14:paraId="6121D1B8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d. Cross default to financial indebtedness, exceeding US$ </w:t>
            </w:r>
            <w:proofErr w:type="gramStart"/>
            <w:r>
              <w:rPr>
                <w:rFonts w:eastAsia="Times New Roman"/>
                <w:color w:val="000000"/>
                <w:sz w:val="22"/>
                <w:szCs w:val="22"/>
              </w:rPr>
              <w:t>[ ]</w:t>
            </w:r>
            <w:proofErr w:type="gramEnd"/>
            <w:r>
              <w:rPr>
                <w:rFonts w:eastAsia="Times New Roman"/>
                <w:color w:val="000000"/>
                <w:sz w:val="22"/>
                <w:szCs w:val="22"/>
              </w:rPr>
              <w:t xml:space="preserve"> in aggregate</w:t>
            </w:r>
          </w:p>
          <w:p w14:paraId="69777781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bankruptcy, insolvency, enforcement provisions</w:t>
            </w:r>
          </w:p>
          <w:p w14:paraId="27306CC7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e. change of control / ownership interest of the Borrower</w:t>
            </w:r>
          </w:p>
          <w:p w14:paraId="07C9CAC4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material adverse effect</w:t>
            </w:r>
          </w:p>
          <w:p w14:paraId="637464B8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f. a failure to obtain approvals required to implement the </w:t>
            </w:r>
            <w:proofErr w:type="gramStart"/>
            <w:r>
              <w:rPr>
                <w:rFonts w:eastAsia="Times New Roman"/>
                <w:color w:val="000000"/>
                <w:sz w:val="22"/>
                <w:szCs w:val="22"/>
              </w:rPr>
              <w:t>Project</w:t>
            </w:r>
            <w:proofErr w:type="gramEnd"/>
          </w:p>
          <w:p w14:paraId="0348C46F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g. a failure to own the relevant Project </w:t>
            </w:r>
            <w:proofErr w:type="gramStart"/>
            <w:r>
              <w:rPr>
                <w:rFonts w:eastAsia="Times New Roman"/>
                <w:color w:val="000000"/>
                <w:sz w:val="22"/>
                <w:szCs w:val="22"/>
              </w:rPr>
              <w:t>land</w:t>
            </w:r>
            <w:proofErr w:type="gramEnd"/>
          </w:p>
          <w:p w14:paraId="19A484C8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h. improper use of the funds borrowed from </w:t>
            </w:r>
            <w:proofErr w:type="gramStart"/>
            <w:r>
              <w:rPr>
                <w:rFonts w:eastAsia="Times New Roman"/>
                <w:color w:val="000000"/>
                <w:sz w:val="22"/>
                <w:szCs w:val="22"/>
              </w:rPr>
              <w:t>Lenders</w:t>
            </w:r>
            <w:proofErr w:type="gramEnd"/>
          </w:p>
          <w:p w14:paraId="5786B7D0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color w:val="000000"/>
                <w:sz w:val="22"/>
                <w:szCs w:val="22"/>
              </w:rPr>
              <w:t>i</w:t>
            </w:r>
            <w:proofErr w:type="spellEnd"/>
            <w:r>
              <w:rPr>
                <w:rFonts w:eastAsia="Times New Roman"/>
                <w:color w:val="000000"/>
                <w:sz w:val="22"/>
                <w:szCs w:val="22"/>
              </w:rPr>
              <w:t>. unlawfulness</w:t>
            </w:r>
          </w:p>
          <w:p w14:paraId="66467828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j. cessation of business</w:t>
            </w:r>
          </w:p>
          <w:p w14:paraId="387C8F51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k. expropriation</w:t>
            </w:r>
          </w:p>
          <w:p w14:paraId="1D92E8C6" w14:textId="77777777" w:rsidR="00EC5AC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l. </w:t>
            </w:r>
            <w:proofErr w:type="gramStart"/>
            <w:r>
              <w:rPr>
                <w:rFonts w:eastAsia="Times New Roman"/>
                <w:color w:val="000000"/>
                <w:sz w:val="22"/>
                <w:szCs w:val="22"/>
              </w:rPr>
              <w:t>Other</w:t>
            </w:r>
            <w:proofErr w:type="gramEnd"/>
            <w:r>
              <w:rPr>
                <w:rFonts w:eastAsia="Times New Roman"/>
                <w:color w:val="000000"/>
                <w:sz w:val="22"/>
                <w:szCs w:val="22"/>
              </w:rPr>
              <w:t xml:space="preserve"> provisions the Arranger and the Lenders may reasonably require</w:t>
            </w:r>
          </w:p>
        </w:tc>
      </w:tr>
    </w:tbl>
    <w:p w14:paraId="0CD00934" w14:textId="77777777" w:rsidR="00EC5AC8" w:rsidRDefault="00EC5AC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000"/>
        </w:tabs>
        <w:spacing w:before="60" w:after="60"/>
        <w:ind w:right="458"/>
        <w:jc w:val="both"/>
        <w:rPr>
          <w:rFonts w:ascii="굴림" w:eastAsia="굴림" w:hAnsi="굴림" w:cs="굴림"/>
          <w:color w:val="000000"/>
          <w:sz w:val="24"/>
          <w:szCs w:val="24"/>
        </w:rPr>
      </w:pPr>
    </w:p>
    <w:sectPr w:rsidR="00EC5AC8">
      <w:pgSz w:w="11906" w:h="16838"/>
      <w:pgMar w:top="1438" w:right="1466" w:bottom="899" w:left="1701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EA99A" w14:textId="77777777" w:rsidR="00AD291F" w:rsidRDefault="00AD291F" w:rsidP="00C808D6">
      <w:r>
        <w:separator/>
      </w:r>
    </w:p>
  </w:endnote>
  <w:endnote w:type="continuationSeparator" w:id="0">
    <w:p w14:paraId="5187B03B" w14:textId="77777777" w:rsidR="00AD291F" w:rsidRDefault="00AD291F" w:rsidP="00C80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8667A" w14:textId="77777777" w:rsidR="00AD291F" w:rsidRDefault="00AD291F" w:rsidP="00C808D6">
      <w:r>
        <w:separator/>
      </w:r>
    </w:p>
  </w:footnote>
  <w:footnote w:type="continuationSeparator" w:id="0">
    <w:p w14:paraId="489EED4B" w14:textId="77777777" w:rsidR="00AD291F" w:rsidRDefault="00AD291F" w:rsidP="00C80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2C2361"/>
    <w:multiLevelType w:val="multilevel"/>
    <w:tmpl w:val="E11EBC8A"/>
    <w:lvl w:ilvl="0">
      <w:start w:val="1"/>
      <w:numFmt w:val="lowerLetter"/>
      <w:lvlText w:val="%1."/>
      <w:lvlJc w:val="left"/>
      <w:pPr>
        <w:ind w:left="76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upperLetter"/>
      <w:lvlText w:val="%2."/>
      <w:lvlJc w:val="left"/>
      <w:pPr>
        <w:ind w:left="1200" w:hanging="40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600" w:hanging="40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000" w:hanging="400"/>
      </w:pPr>
      <w:rPr>
        <w:vertAlign w:val="baseline"/>
      </w:rPr>
    </w:lvl>
    <w:lvl w:ilvl="4">
      <w:start w:val="1"/>
      <w:numFmt w:val="upperLetter"/>
      <w:lvlText w:val="%5."/>
      <w:lvlJc w:val="left"/>
      <w:pPr>
        <w:ind w:left="2400" w:hanging="40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00" w:hanging="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200" w:hanging="400"/>
      </w:pPr>
      <w:rPr>
        <w:vertAlign w:val="baseline"/>
      </w:rPr>
    </w:lvl>
    <w:lvl w:ilvl="7">
      <w:start w:val="1"/>
      <w:numFmt w:val="upperLetter"/>
      <w:lvlText w:val="%8."/>
      <w:lvlJc w:val="left"/>
      <w:pPr>
        <w:ind w:left="3600" w:hanging="40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000" w:hanging="400"/>
      </w:pPr>
      <w:rPr>
        <w:vertAlign w:val="baseline"/>
      </w:rPr>
    </w:lvl>
  </w:abstractNum>
  <w:num w:numId="1" w16cid:durableId="2084257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AC8"/>
    <w:rsid w:val="001C41AB"/>
    <w:rsid w:val="00AD291F"/>
    <w:rsid w:val="00C808D6"/>
    <w:rsid w:val="00EC5AC8"/>
    <w:rsid w:val="00FC2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F8B4C9"/>
  <w15:docId w15:val="{3B5DD3A8-7272-484C-B8F9-D69762B7D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99" w:type="dxa"/>
        <w:right w:w="99" w:type="dxa"/>
      </w:tblCellMar>
    </w:tblPr>
  </w:style>
  <w:style w:type="paragraph" w:styleId="a6">
    <w:name w:val="header"/>
    <w:basedOn w:val="a"/>
    <w:link w:val="Char"/>
    <w:uiPriority w:val="99"/>
    <w:unhideWhenUsed/>
    <w:rsid w:val="00C808D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C808D6"/>
  </w:style>
  <w:style w:type="paragraph" w:styleId="a7">
    <w:name w:val="footer"/>
    <w:basedOn w:val="a"/>
    <w:link w:val="Char0"/>
    <w:uiPriority w:val="99"/>
    <w:unhideWhenUsed/>
    <w:rsid w:val="00C808D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C808D6"/>
  </w:style>
  <w:style w:type="paragraph" w:customStyle="1" w:styleId="a8">
    <w:name w:val="바탕글"/>
    <w:basedOn w:val="a"/>
    <w:rsid w:val="00FC2148"/>
    <w:pPr>
      <w:widowControl w:val="0"/>
      <w:wordWrap w:val="0"/>
      <w:autoSpaceDE w:val="0"/>
      <w:autoSpaceDN w:val="0"/>
      <w:spacing w:line="384" w:lineRule="auto"/>
      <w:jc w:val="both"/>
      <w:textAlignment w:val="baseline"/>
    </w:pPr>
    <w:rPr>
      <w:rFonts w:ascii="함초롬바탕" w:eastAsia="굴림" w:hAnsi="굴림" w:cs="굴림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52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864</Words>
  <Characters>4925</Characters>
  <Application>Microsoft Office Word</Application>
  <DocSecurity>0</DocSecurity>
  <Lines>41</Lines>
  <Paragraphs>11</Paragraphs>
  <ScaleCrop>false</ScaleCrop>
  <Company/>
  <LinksUpToDate>false</LinksUpToDate>
  <CharactersWithSpaces>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Tae Joon Kwon</cp:lastModifiedBy>
  <cp:revision>3</cp:revision>
  <dcterms:created xsi:type="dcterms:W3CDTF">2024-01-30T07:09:00Z</dcterms:created>
  <dcterms:modified xsi:type="dcterms:W3CDTF">2024-02-19T08:52:00Z</dcterms:modified>
</cp:coreProperties>
</file>